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80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  <w:sz w:val="96"/>
                      <w:szCs w:val="96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836277</wp:posOffset>
                        </wp:positionH>
                        <wp:positionV relativeFrom="paragraph">
                          <wp:posOffset>23495</wp:posOffset>
                        </wp:positionV>
                        <wp:extent cx="900430" cy="566420"/>
                        <wp:effectExtent l="0" t="0" r="0" b="5080"/>
                        <wp:wrapNone/>
                        <wp:docPr id="7" name="Image 1" descr="Une image contenant texte, clipart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 7" descr="Une image contenant texte, clipart&#10;&#10;Description générée automatiquement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900430" cy="5664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>
                  <w:pPr>
                    <w:ind w:left="70" w:right="53"/>
                    <w:jc w:val="center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 Louis Pasteur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73 Avenue Léon Jouhaux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39100 Dole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Tél. 03 84 79 80 80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after="20" w:line="259" w:lineRule="auto"/>
                    <w:jc w:val="center"/>
                  </w:pPr>
                  <w:r>
                    <w:rPr>
                      <w:b/>
                      <w:sz w:val="28"/>
                    </w:rPr>
                    <w:t>TRAVAUX DE RENOVATION DU SERVICE DE LA MAM DU CENTRE HOSPITALIER DE DOLE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CAHIER DES CLAUSES ADMINISTRATIVES PARTICULIERES (CCAP)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1196955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5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_Toc211969559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196956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_Toc211969566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211969553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bookmarkStart w:id="2" w:name="_Hlk211956165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MACONNERIE - V.R.D.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MENUISERIES EXTÉRIEURES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MENUISERIES INTÉRIEURES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- FAUX PLAFOND - PEINTURES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REVETEMENT DE SOL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 - CHAUFFAGE - VENTILATION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ÉLECTRICITÉ - COURANTS FAIBLES</w:t>
            </w:r>
          </w:p>
        </w:tc>
      </w:tr>
      <w:bookmarkEnd w:id="2"/>
    </w:tbl>
    <w:p>
      <w:pPr>
        <w:rPr>
          <w:rFonts w:asciiTheme="minorHAnsi" w:hAnsiTheme="minorHAnsi" w:cstheme="minorHAnsi"/>
        </w:rPr>
        <w:sectPr>
          <w:footerReference w:type="default" r:id="rId9"/>
          <w:pgSz w:w="11900" w:h="16840"/>
          <w:pgMar w:top="580" w:right="1140" w:bottom="580" w:left="1140" w:header="113" w:footer="113" w:gutter="0"/>
          <w:cols w:space="708"/>
          <w:docGrid w:linePitch="326"/>
        </w:sect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3" w:name="ArtL1_AE-3-A2"/>
      <w:bookmarkStart w:id="4" w:name="_Toc211969554"/>
      <w:bookmarkEnd w:id="3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2 - Identification de l'acheteur</w:t>
      </w:r>
      <w:bookmarkEnd w:id="4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b/>
          <w:bCs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>
        <w:rPr>
          <w:rFonts w:asciiTheme="minorHAnsi" w:hAnsiTheme="minorHAnsi" w:cstheme="minorHAnsi"/>
          <w:b/>
          <w:bCs/>
          <w:color w:val="000000"/>
          <w:sz w:val="24"/>
          <w:lang w:val="fr-FR"/>
        </w:rPr>
        <w:t>FORMA3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(Sous réserve de changement ultérieur par décision du maître de l'ouvrage)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5" w:name="ArtL1_AE-3-A3"/>
      <w:bookmarkStart w:id="6" w:name="_Toc211969555"/>
      <w:bookmarkEnd w:id="5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6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7" w:name="ArtL1_AE-3-A4"/>
      <w:bookmarkStart w:id="8" w:name="_Toc211969556"/>
      <w:bookmarkEnd w:id="7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8"/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9" w:name="ArtL2_AE-3-A4.1"/>
      <w:bookmarkStart w:id="10" w:name="_Toc211969557"/>
      <w:bookmarkEnd w:id="9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4.1 - Objet</w:t>
      </w:r>
      <w:bookmarkEnd w:id="10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bookmarkStart w:id="11" w:name="_Hlk211956156"/>
      <w:r>
        <w:rPr>
          <w:rFonts w:asciiTheme="minorHAnsi" w:hAnsiTheme="minorHAnsi" w:cstheme="minorHAnsi"/>
          <w:color w:val="000000"/>
          <w:sz w:val="24"/>
          <w:lang w:val="fr-FR"/>
        </w:rPr>
        <w:t>Des travaux de rénovation du service de la MAM du centre hospitalier de dole</w:t>
      </w:r>
      <w:bookmarkEnd w:id="11"/>
      <w:r>
        <w:rPr>
          <w:rFonts w:asciiTheme="minorHAnsi" w:hAnsiTheme="minorHAnsi" w:cstheme="minorHAnsi"/>
          <w:color w:val="000000"/>
          <w:sz w:val="24"/>
          <w:lang w:val="fr-FR"/>
        </w:rPr>
        <w:t>.</w:t>
      </w:r>
    </w:p>
    <w:p>
      <w:pPr>
        <w:rPr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6 lots.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2" w:name="ArtL2_AE-3-A4.2"/>
      <w:bookmarkStart w:id="13" w:name="_Toc211969558"/>
      <w:bookmarkEnd w:id="12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4.2 - Mode de passation</w:t>
      </w:r>
      <w:bookmarkEnd w:id="13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2"/>
          <w:pgSz w:w="11900" w:h="16840"/>
          <w:pgMar w:top="580" w:right="1140" w:bottom="580" w:left="1140" w:header="113" w:footer="57" w:gutter="0"/>
          <w:cols w:space="708"/>
          <w:docGrid w:linePitch="326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4" w:name="ArtL2_AE-3-A4.3"/>
      <w:bookmarkStart w:id="15" w:name="_Toc211969559"/>
      <w:bookmarkEnd w:id="14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lastRenderedPageBreak/>
        <w:t>4.3 - Forme de contrat</w:t>
      </w:r>
      <w:bookmarkEnd w:id="15"/>
    </w:p>
    <w:p>
      <w:pPr>
        <w:rPr>
          <w:rFonts w:eastAsia="Trebuchet MS"/>
          <w:sz w:val="16"/>
          <w:szCs w:val="16"/>
          <w:lang w:val="fr-FR"/>
        </w:rPr>
      </w:pPr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5"/>
      <w:bookmarkStart w:id="17" w:name="_Toc211969560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-564" w:type="dxa"/>
        <w:tblLayout w:type="fixed"/>
        <w:tblLook w:val="04A0" w:firstRow="1" w:lastRow="0" w:firstColumn="1" w:lastColumn="0" w:noHBand="0" w:noVBand="1"/>
      </w:tblPr>
      <w:tblGrid>
        <w:gridCol w:w="709"/>
        <w:gridCol w:w="2687"/>
        <w:gridCol w:w="1282"/>
        <w:gridCol w:w="1276"/>
        <w:gridCol w:w="1276"/>
        <w:gridCol w:w="2934"/>
      </w:tblGrid>
      <w:tr>
        <w:trPr>
          <w:trHeight w:val="292"/>
        </w:trPr>
        <w:tc>
          <w:tcPr>
            <w:tcW w:w="1016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4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GROS-ŒUVRE - DEMOLITION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EXTERIEURE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AFOND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34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6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7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6"/>
      <w:bookmarkStart w:id="19" w:name="_Toc211969561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propre à chaque lot est proposé(e) par le candidat comme suit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723"/>
        <w:gridCol w:w="3402"/>
      </w:tblGrid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proposé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GROS-ŒUVRE - DEMOLITION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EXTERIEURE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AFOND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</w:t>
            </w: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16"/>
          <w:szCs w:val="16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ne devra toutefois pas dépasser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 maximum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GROS-OEUVRE - DEMOLITION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EXTERIEURE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SOLLES COLLES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PLOMBERIE - CVC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 CFO - CFA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10 mois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8"/>
      <w:bookmarkStart w:id="21" w:name="_Toc211969562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7 - Paiement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3"/>
          <w:pgSz w:w="11900" w:h="16840"/>
          <w:pgMar w:top="580" w:right="1140" w:bottom="580" w:left="1140" w:header="113" w:footer="113" w:gutter="0"/>
          <w:cols w:space="708"/>
          <w:docGrid w:linePitch="326"/>
        </w:sect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9"/>
      <w:bookmarkStart w:id="23" w:name="_Toc211969563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8 - Avance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1"/>
      <w:bookmarkStart w:id="25" w:name="_Toc211969564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restructuration</w:t>
            </w:r>
          </w:p>
        </w:tc>
      </w:tr>
    </w:tbl>
    <w:p>
      <w:pPr>
        <w:spacing w:line="2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gros œuvre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cloisonnement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peinture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45432110-8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pose de sols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matériel de chauffage, de ventilation et de climatisation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plomberie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d'installations électriques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E-3-A14"/>
      <w:bookmarkStart w:id="27" w:name="_Toc211969565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4"/>
          <w:pgSz w:w="11900" w:h="16840"/>
          <w:pgMar w:top="580" w:right="1140" w:bottom="580" w:left="1140" w:header="113" w:footer="113" w:gutter="0"/>
          <w:cols w:space="708"/>
          <w:docGrid w:linePitch="326"/>
        </w:sect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4"/>
        <w:gridCol w:w="709"/>
        <w:gridCol w:w="3827"/>
        <w:gridCol w:w="1417"/>
        <w:gridCol w:w="1418"/>
        <w:gridCol w:w="1375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Retenue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Lot(s)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HT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TVA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0" name="Image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GROS-OEUVRE - DEMOLITION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1" name="Image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MENUISERIE EXTERIEURE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MENUISERIE INTERIEUR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2" name="Image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CLOISONS PEINTURE FAUX-PLAFOND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3" name="Imag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05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SOLLES COLLES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4" name="Image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06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 xml:space="preserve">PLOMBERIE - CVC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highlight w:val="yellow"/>
              </w:rPr>
            </w:pPr>
          </w:p>
          <w:p>
            <w:pPr>
              <w:ind w:left="32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noProof/>
                <w:highlight w:val="yellow"/>
              </w:rPr>
              <w:drawing>
                <wp:inline distT="0" distB="0" distL="0" distR="0">
                  <wp:extent cx="128905" cy="128905"/>
                  <wp:effectExtent l="0" t="0" r="0" b="0"/>
                  <wp:docPr id="605" name="Imag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07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ELECTRICITE CFO - CFA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highlight w:val="yellow"/>
                <w:lang w:val="fr-FR"/>
              </w:rPr>
              <w:t>................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  <w:p>
            <w:pPr>
              <w:rPr>
                <w:lang w:val="fr-FR"/>
              </w:rPr>
            </w:pP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A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Le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5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8" w:name="ArtL1_A-CT"/>
      <w:bookmarkStart w:id="29" w:name="_Toc211969566"/>
      <w:bookmarkEnd w:id="2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9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6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BBBBA8-B42F-4F2A-8F56-64798CD7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1874</Words>
  <Characters>10007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cp:lastPrinted>2025-10-21T18:08:00Z</cp:lastPrinted>
  <dcterms:created xsi:type="dcterms:W3CDTF">2025-10-21T18:08:00Z</dcterms:created>
  <dcterms:modified xsi:type="dcterms:W3CDTF">2025-10-21T18:08:00Z</dcterms:modified>
</cp:coreProperties>
</file>